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75D1" w14:textId="70B82C67" w:rsidR="00B1299A" w:rsidRPr="00C542E5" w:rsidRDefault="00B54B9D" w:rsidP="004C63E9">
      <w:pPr>
        <w:pStyle w:val="Title"/>
        <w:jc w:val="center"/>
        <w:rPr>
          <w:b/>
          <w:bCs/>
          <w:color w:val="538135" w:themeColor="accent6" w:themeShade="BF"/>
        </w:rPr>
      </w:pPr>
      <w:r w:rsidRPr="00C542E5">
        <w:rPr>
          <w:b/>
          <w:bCs/>
          <w:color w:val="538135" w:themeColor="accent6" w:themeShade="BF"/>
        </w:rPr>
        <w:t>Carrus manual</w:t>
      </w:r>
    </w:p>
    <w:p w14:paraId="3EEAE6C2" w14:textId="6CAE494E" w:rsidR="00B54B9D" w:rsidRPr="00C542E5" w:rsidRDefault="00B54B9D" w:rsidP="00674942">
      <w:pPr>
        <w:pStyle w:val="Heading1"/>
        <w:rPr>
          <w:b/>
          <w:bCs/>
          <w:color w:val="538135" w:themeColor="accent6" w:themeShade="BF"/>
        </w:rPr>
      </w:pPr>
      <w:r w:rsidRPr="00C542E5">
        <w:rPr>
          <w:b/>
          <w:bCs/>
          <w:color w:val="538135" w:themeColor="accent6" w:themeShade="BF"/>
        </w:rPr>
        <w:t xml:space="preserve">How the </w:t>
      </w:r>
      <w:r w:rsidR="004C63E9" w:rsidRPr="00C542E5">
        <w:rPr>
          <w:b/>
          <w:bCs/>
          <w:color w:val="538135" w:themeColor="accent6" w:themeShade="BF"/>
        </w:rPr>
        <w:t>Carrus</w:t>
      </w:r>
      <w:r w:rsidRPr="00C542E5">
        <w:rPr>
          <w:b/>
          <w:bCs/>
          <w:color w:val="538135" w:themeColor="accent6" w:themeShade="BF"/>
        </w:rPr>
        <w:t xml:space="preserve"> was developed</w:t>
      </w:r>
    </w:p>
    <w:p w14:paraId="65DF147C" w14:textId="183DC0FB" w:rsidR="00B54B9D" w:rsidRDefault="001B71C6">
      <w:r>
        <w:t xml:space="preserve">The Carrus was developed as a quick and efficient screener of underlying abilities.  Academic research </w:t>
      </w:r>
      <w:r w:rsidR="007C708C">
        <w:t>investigating</w:t>
      </w:r>
      <w:r>
        <w:t xml:space="preserve"> </w:t>
      </w:r>
      <w:r w:rsidR="004C63E9">
        <w:t xml:space="preserve">the </w:t>
      </w:r>
      <w:r>
        <w:t xml:space="preserve">constructs </w:t>
      </w:r>
      <w:r w:rsidR="00434F16">
        <w:t xml:space="preserve">that </w:t>
      </w:r>
      <w:r>
        <w:t>underl</w:t>
      </w:r>
      <w:r w:rsidR="00434F16">
        <w:t>ie</w:t>
      </w:r>
      <w:r>
        <w:t xml:space="preserve"> ability was used to </w:t>
      </w:r>
      <w:r w:rsidR="00A73548">
        <w:t>direct the</w:t>
      </w:r>
      <w:r>
        <w:t xml:space="preserve"> development of </w:t>
      </w:r>
      <w:r w:rsidR="007C708C">
        <w:t>this assessment</w:t>
      </w:r>
      <w:r>
        <w:t xml:space="preserve"> </w:t>
      </w:r>
      <w:r w:rsidR="007C708C">
        <w:t>battery</w:t>
      </w:r>
      <w:r>
        <w:t xml:space="preserve">.  Subsequently, pilot studies using school leavers as participants were used to design and refine items chosen for the four subtests.  As well as assisting with item selection, these studies helped evaluate any cultural bias and </w:t>
      </w:r>
      <w:r w:rsidR="00536B1C">
        <w:t xml:space="preserve">were used to </w:t>
      </w:r>
      <w:r>
        <w:t>evaluate administration guidelines.</w:t>
      </w:r>
    </w:p>
    <w:p w14:paraId="1FEA740C" w14:textId="3207E213" w:rsidR="001B71C6" w:rsidRDefault="001B71C6">
      <w:r>
        <w:t>After the initial test was developed, items were reviewed by experts to minimise the impact of gender, race, ethnicity and English as an additional language on test performance.  Improvements were then made to items to minimise any adverse impact.</w:t>
      </w:r>
    </w:p>
    <w:p w14:paraId="7378C732" w14:textId="4B87224B" w:rsidR="001B71C6" w:rsidRPr="00C542E5" w:rsidRDefault="001B71C6" w:rsidP="00536B1C">
      <w:pPr>
        <w:pStyle w:val="Heading1"/>
        <w:rPr>
          <w:b/>
          <w:bCs/>
          <w:color w:val="538135" w:themeColor="accent6" w:themeShade="BF"/>
        </w:rPr>
      </w:pPr>
      <w:r w:rsidRPr="00C542E5">
        <w:rPr>
          <w:b/>
          <w:bCs/>
          <w:color w:val="538135" w:themeColor="accent6" w:themeShade="BF"/>
        </w:rPr>
        <w:t>Standardisation</w:t>
      </w:r>
    </w:p>
    <w:p w14:paraId="1A3B756F" w14:textId="00B9706C" w:rsidR="001B71C6" w:rsidRDefault="001B71C6">
      <w:r>
        <w:t xml:space="preserve">The standardisation of the Carrus required </w:t>
      </w:r>
      <w:r w:rsidR="002F641D">
        <w:t xml:space="preserve">a representative sample of 250 UK 16-25-year-olds to develop norms.  Reliability studies undertaken on standardised data yielded Cronbach’s alphas of a=0.79 and test re-test reliability coefficient’s of r=0.8.  </w:t>
      </w:r>
      <w:r w:rsidR="00267C9F">
        <w:t xml:space="preserve">SEM levels were acceptable.  </w:t>
      </w:r>
      <w:r w:rsidR="002F641D">
        <w:t xml:space="preserve">To investigate validity, </w:t>
      </w:r>
      <w:r w:rsidR="00267C9F">
        <w:t xml:space="preserve">100 </w:t>
      </w:r>
      <w:r w:rsidR="002F641D">
        <w:t xml:space="preserve">examinees were administered the Carrus and relevant subtests of the French-Peterson </w:t>
      </w:r>
      <w:r w:rsidR="00267C9F">
        <w:t>Test Battery</w:t>
      </w:r>
      <w:r w:rsidR="002F641D">
        <w:t>.</w:t>
      </w:r>
      <w:r w:rsidR="00267C9F">
        <w:t xml:space="preserve">  This suggested acceptable levels of validity between Carrus subscales and equivalent subscales on the latter test.  Details are outlined below:</w:t>
      </w:r>
    </w:p>
    <w:tbl>
      <w:tblPr>
        <w:tblStyle w:val="TableGrid"/>
        <w:tblW w:w="0" w:type="auto"/>
        <w:tblLook w:val="04A0" w:firstRow="1" w:lastRow="0" w:firstColumn="1" w:lastColumn="0" w:noHBand="0" w:noVBand="1"/>
      </w:tblPr>
      <w:tblGrid>
        <w:gridCol w:w="4508"/>
        <w:gridCol w:w="4508"/>
      </w:tblGrid>
      <w:tr w:rsidR="00267C9F" w14:paraId="2F819E3E" w14:textId="77777777" w:rsidTr="00267C9F">
        <w:tc>
          <w:tcPr>
            <w:tcW w:w="4508" w:type="dxa"/>
            <w:shd w:val="clear" w:color="auto" w:fill="D9D9D9" w:themeFill="background1" w:themeFillShade="D9"/>
          </w:tcPr>
          <w:p w14:paraId="335B6240" w14:textId="33E02668" w:rsidR="00267C9F" w:rsidRPr="00267C9F" w:rsidRDefault="00267C9F">
            <w:pPr>
              <w:rPr>
                <w:b/>
                <w:bCs/>
              </w:rPr>
            </w:pPr>
            <w:r w:rsidRPr="00267C9F">
              <w:rPr>
                <w:b/>
                <w:bCs/>
              </w:rPr>
              <w:t>Subtest</w:t>
            </w:r>
          </w:p>
        </w:tc>
        <w:tc>
          <w:tcPr>
            <w:tcW w:w="4508" w:type="dxa"/>
            <w:shd w:val="clear" w:color="auto" w:fill="D9D9D9" w:themeFill="background1" w:themeFillShade="D9"/>
          </w:tcPr>
          <w:p w14:paraId="53D50DDC" w14:textId="6C4FC206" w:rsidR="00267C9F" w:rsidRPr="00267C9F" w:rsidRDefault="00267C9F">
            <w:pPr>
              <w:rPr>
                <w:b/>
                <w:bCs/>
              </w:rPr>
            </w:pPr>
            <w:r w:rsidRPr="00267C9F">
              <w:rPr>
                <w:b/>
                <w:bCs/>
              </w:rPr>
              <w:t>Correlation</w:t>
            </w:r>
          </w:p>
        </w:tc>
      </w:tr>
      <w:tr w:rsidR="00267C9F" w14:paraId="5457BE21" w14:textId="77777777" w:rsidTr="00267C9F">
        <w:tc>
          <w:tcPr>
            <w:tcW w:w="4508" w:type="dxa"/>
          </w:tcPr>
          <w:p w14:paraId="06975C56" w14:textId="77777777" w:rsidR="00267C9F" w:rsidRDefault="00267C9F" w:rsidP="00267C9F">
            <w:r>
              <w:rPr>
                <w:b/>
                <w:bCs/>
              </w:rPr>
              <w:t>Carrus</w:t>
            </w:r>
            <w:r>
              <w:t xml:space="preserve"> </w:t>
            </w:r>
            <w:proofErr w:type="spellStart"/>
            <w:proofErr w:type="gramStart"/>
            <w:r>
              <w:t>non verbal</w:t>
            </w:r>
            <w:proofErr w:type="spellEnd"/>
            <w:proofErr w:type="gramEnd"/>
            <w:r>
              <w:t xml:space="preserve"> reasoning</w:t>
            </w:r>
          </w:p>
          <w:p w14:paraId="1AA08AE4" w14:textId="77BE0F27" w:rsidR="00267C9F" w:rsidRPr="00267C9F" w:rsidRDefault="00267C9F" w:rsidP="00267C9F">
            <w:r>
              <w:rPr>
                <w:b/>
                <w:bCs/>
              </w:rPr>
              <w:t>French-Peterson</w:t>
            </w:r>
            <w:r>
              <w:t xml:space="preserve"> </w:t>
            </w:r>
            <w:proofErr w:type="spellStart"/>
            <w:proofErr w:type="gramStart"/>
            <w:r>
              <w:t>non verbal</w:t>
            </w:r>
            <w:proofErr w:type="spellEnd"/>
            <w:proofErr w:type="gramEnd"/>
            <w:r>
              <w:t xml:space="preserve"> reasoning</w:t>
            </w:r>
          </w:p>
        </w:tc>
        <w:tc>
          <w:tcPr>
            <w:tcW w:w="4508" w:type="dxa"/>
          </w:tcPr>
          <w:p w14:paraId="1BFD028E" w14:textId="05DFB0B8" w:rsidR="00267C9F" w:rsidRDefault="00267C9F">
            <w:r>
              <w:t>R=0.56</w:t>
            </w:r>
          </w:p>
        </w:tc>
      </w:tr>
      <w:tr w:rsidR="00267C9F" w14:paraId="0C9A2D73" w14:textId="77777777" w:rsidTr="00267C9F">
        <w:tc>
          <w:tcPr>
            <w:tcW w:w="4508" w:type="dxa"/>
            <w:shd w:val="clear" w:color="auto" w:fill="D9D9D9" w:themeFill="background1" w:themeFillShade="D9"/>
          </w:tcPr>
          <w:p w14:paraId="5158490C" w14:textId="4F874FBC" w:rsidR="00267C9F" w:rsidRDefault="00267C9F" w:rsidP="00267C9F">
            <w:r>
              <w:rPr>
                <w:b/>
                <w:bCs/>
              </w:rPr>
              <w:t>Carrus</w:t>
            </w:r>
            <w:r>
              <w:t xml:space="preserve"> verbal reasoning</w:t>
            </w:r>
          </w:p>
          <w:p w14:paraId="4525C8D6" w14:textId="150ABC96" w:rsidR="00267C9F" w:rsidRDefault="00267C9F" w:rsidP="00267C9F">
            <w:r>
              <w:rPr>
                <w:b/>
                <w:bCs/>
              </w:rPr>
              <w:t>French-Peterson</w:t>
            </w:r>
            <w:r>
              <w:t xml:space="preserve"> verbal reasoning</w:t>
            </w:r>
          </w:p>
        </w:tc>
        <w:tc>
          <w:tcPr>
            <w:tcW w:w="4508" w:type="dxa"/>
            <w:shd w:val="clear" w:color="auto" w:fill="D9D9D9" w:themeFill="background1" w:themeFillShade="D9"/>
          </w:tcPr>
          <w:p w14:paraId="55969335" w14:textId="361C2A52" w:rsidR="00267C9F" w:rsidRDefault="00267C9F">
            <w:r>
              <w:t>R=0.52</w:t>
            </w:r>
          </w:p>
        </w:tc>
      </w:tr>
      <w:tr w:rsidR="00267C9F" w14:paraId="299F8980" w14:textId="77777777" w:rsidTr="00267C9F">
        <w:tc>
          <w:tcPr>
            <w:tcW w:w="4508" w:type="dxa"/>
          </w:tcPr>
          <w:p w14:paraId="20270ADB" w14:textId="325FD7BF" w:rsidR="00267C9F" w:rsidRDefault="00267C9F" w:rsidP="00267C9F">
            <w:r>
              <w:rPr>
                <w:b/>
                <w:bCs/>
              </w:rPr>
              <w:t>Carrus</w:t>
            </w:r>
            <w:r>
              <w:t xml:space="preserve"> mechanical reasoning</w:t>
            </w:r>
          </w:p>
          <w:p w14:paraId="11CE5C69" w14:textId="1A23739E" w:rsidR="00267C9F" w:rsidRDefault="00267C9F" w:rsidP="00267C9F">
            <w:r>
              <w:rPr>
                <w:b/>
                <w:bCs/>
              </w:rPr>
              <w:t>French-Peterson</w:t>
            </w:r>
            <w:r>
              <w:t xml:space="preserve"> </w:t>
            </w:r>
            <w:r w:rsidR="00A919E0">
              <w:t>mechanical</w:t>
            </w:r>
            <w:r>
              <w:t xml:space="preserve"> reasoning</w:t>
            </w:r>
          </w:p>
        </w:tc>
        <w:tc>
          <w:tcPr>
            <w:tcW w:w="4508" w:type="dxa"/>
          </w:tcPr>
          <w:p w14:paraId="34BBF47F" w14:textId="017A4CC1" w:rsidR="00267C9F" w:rsidRDefault="00267C9F">
            <w:r>
              <w:t>R=0.49</w:t>
            </w:r>
          </w:p>
        </w:tc>
      </w:tr>
      <w:tr w:rsidR="00267C9F" w14:paraId="0706E304" w14:textId="77777777" w:rsidTr="00267C9F">
        <w:tc>
          <w:tcPr>
            <w:tcW w:w="4508" w:type="dxa"/>
            <w:shd w:val="clear" w:color="auto" w:fill="D9D9D9" w:themeFill="background1" w:themeFillShade="D9"/>
          </w:tcPr>
          <w:p w14:paraId="45A2FBD1" w14:textId="65159588" w:rsidR="00267C9F" w:rsidRDefault="00267C9F" w:rsidP="00267C9F">
            <w:r>
              <w:rPr>
                <w:b/>
                <w:bCs/>
              </w:rPr>
              <w:t>Carrus</w:t>
            </w:r>
            <w:r>
              <w:t xml:space="preserve"> numerical reasoning</w:t>
            </w:r>
          </w:p>
          <w:p w14:paraId="686AB369" w14:textId="1EDBCEAE" w:rsidR="00267C9F" w:rsidRDefault="00267C9F" w:rsidP="00267C9F">
            <w:r>
              <w:rPr>
                <w:b/>
                <w:bCs/>
              </w:rPr>
              <w:t>French-Peterson</w:t>
            </w:r>
            <w:r>
              <w:t xml:space="preserve"> </w:t>
            </w:r>
            <w:r w:rsidR="00A919E0">
              <w:t>numerical</w:t>
            </w:r>
            <w:r>
              <w:t xml:space="preserve"> reasoning</w:t>
            </w:r>
          </w:p>
        </w:tc>
        <w:tc>
          <w:tcPr>
            <w:tcW w:w="4508" w:type="dxa"/>
            <w:shd w:val="clear" w:color="auto" w:fill="D9D9D9" w:themeFill="background1" w:themeFillShade="D9"/>
          </w:tcPr>
          <w:p w14:paraId="6071C106" w14:textId="12E8723E" w:rsidR="00267C9F" w:rsidRDefault="00267C9F">
            <w:r>
              <w:t>R=0.51</w:t>
            </w:r>
          </w:p>
        </w:tc>
      </w:tr>
    </w:tbl>
    <w:p w14:paraId="513A1589" w14:textId="77777777" w:rsidR="00A73548" w:rsidRDefault="00A73548"/>
    <w:p w14:paraId="12B411DF" w14:textId="3C58F7D2" w:rsidR="00B54B9D" w:rsidRPr="00C542E5" w:rsidRDefault="00B54B9D" w:rsidP="00674942">
      <w:pPr>
        <w:pStyle w:val="Heading1"/>
        <w:rPr>
          <w:b/>
          <w:bCs/>
          <w:color w:val="538135" w:themeColor="accent6" w:themeShade="BF"/>
        </w:rPr>
      </w:pPr>
      <w:r w:rsidRPr="00C542E5">
        <w:rPr>
          <w:b/>
          <w:bCs/>
          <w:color w:val="538135" w:themeColor="accent6" w:themeShade="BF"/>
        </w:rPr>
        <w:t>Norm group</w:t>
      </w:r>
    </w:p>
    <w:p w14:paraId="43653EC8" w14:textId="7B2ED0A1" w:rsidR="00A73548" w:rsidRDefault="00A73548">
      <w:r>
        <w:t>The original Carrus norm group consisted of 250 individuals.  However, the norm group continues to grow with each additional assessment.   The age range of the original norm group was 16-25-year-olds and is representative of the UK population of that age</w:t>
      </w:r>
      <w:r w:rsidR="00754CD7">
        <w:t xml:space="preserve"> range</w:t>
      </w:r>
      <w:r>
        <w:t>.  Males make up 48% of the sample and females</w:t>
      </w:r>
      <w:r w:rsidR="00754CD7">
        <w:t xml:space="preserve"> make up</w:t>
      </w:r>
      <w:r>
        <w:t xml:space="preserve"> 52%.  It is not possible to further subdivide the norm group by age or sex.  Assessing individuals outside of the stated norm age group may violate standardization procedures.</w:t>
      </w:r>
    </w:p>
    <w:p w14:paraId="30A7743D" w14:textId="29BAA928" w:rsidR="00A73548" w:rsidRPr="00C542E5" w:rsidRDefault="00A73548" w:rsidP="00674942">
      <w:pPr>
        <w:pStyle w:val="Heading1"/>
        <w:rPr>
          <w:b/>
          <w:bCs/>
          <w:color w:val="538135" w:themeColor="accent6" w:themeShade="BF"/>
        </w:rPr>
      </w:pPr>
      <w:r w:rsidRPr="00C542E5">
        <w:rPr>
          <w:b/>
          <w:bCs/>
          <w:color w:val="538135" w:themeColor="accent6" w:themeShade="BF"/>
        </w:rPr>
        <w:t>Subtests and what they measure</w:t>
      </w:r>
    </w:p>
    <w:p w14:paraId="77774817" w14:textId="3856BBFC" w:rsidR="00674942" w:rsidRPr="00C542E5" w:rsidRDefault="00674942" w:rsidP="00674942">
      <w:pPr>
        <w:pStyle w:val="Heading2"/>
        <w:rPr>
          <w:color w:val="538135" w:themeColor="accent6" w:themeShade="BF"/>
        </w:rPr>
      </w:pPr>
      <w:proofErr w:type="spellStart"/>
      <w:proofErr w:type="gramStart"/>
      <w:r w:rsidRPr="00C542E5">
        <w:rPr>
          <w:color w:val="538135" w:themeColor="accent6" w:themeShade="BF"/>
        </w:rPr>
        <w:t>Non verbal</w:t>
      </w:r>
      <w:proofErr w:type="spellEnd"/>
      <w:proofErr w:type="gramEnd"/>
      <w:r w:rsidRPr="00C542E5">
        <w:rPr>
          <w:color w:val="538135" w:themeColor="accent6" w:themeShade="BF"/>
        </w:rPr>
        <w:t xml:space="preserve"> reasoning</w:t>
      </w:r>
    </w:p>
    <w:p w14:paraId="6CFD95DA" w14:textId="6061D8F2" w:rsidR="00A73548" w:rsidRDefault="00A73548">
      <w:r>
        <w:t xml:space="preserve">The </w:t>
      </w:r>
      <w:proofErr w:type="spellStart"/>
      <w:proofErr w:type="gramStart"/>
      <w:r w:rsidR="0089043F" w:rsidRPr="00674942">
        <w:t>non verbal</w:t>
      </w:r>
      <w:proofErr w:type="spellEnd"/>
      <w:proofErr w:type="gramEnd"/>
      <w:r w:rsidR="0089043F" w:rsidRPr="00674942">
        <w:t xml:space="preserve"> reasoning subtest</w:t>
      </w:r>
      <w:r w:rsidR="0089043F">
        <w:t xml:space="preserve"> measures test-takers’ ability to </w:t>
      </w:r>
      <w:r w:rsidR="00196378">
        <w:t xml:space="preserve">notice patterns and trends in data and solve novel problems.  It also assesses their ability to </w:t>
      </w:r>
      <w:r w:rsidR="00166FCD">
        <w:t>quickly acquire new information</w:t>
      </w:r>
      <w:r w:rsidR="004A5C06">
        <w:t xml:space="preserve"> and to think using visual</w:t>
      </w:r>
      <w:r w:rsidR="00AF3F3F">
        <w:t xml:space="preserve"> patterns</w:t>
      </w:r>
      <w:r w:rsidR="00166FCD">
        <w:t>.</w:t>
      </w:r>
    </w:p>
    <w:p w14:paraId="607B0B22" w14:textId="2201660A" w:rsidR="00166FCD" w:rsidRDefault="00166FCD">
      <w:r w:rsidRPr="00674942">
        <w:rPr>
          <w:u w:val="single"/>
        </w:rPr>
        <w:t>High scorers</w:t>
      </w:r>
      <w:r>
        <w:t xml:space="preserve">: </w:t>
      </w:r>
      <w:r w:rsidR="00B735F8">
        <w:t xml:space="preserve">will excel in a work environment where </w:t>
      </w:r>
      <w:r w:rsidR="00D60C75">
        <w:t xml:space="preserve">they are required to </w:t>
      </w:r>
      <w:r w:rsidR="00674942">
        <w:t>process information in a logical manner and solve problems.</w:t>
      </w:r>
    </w:p>
    <w:p w14:paraId="658EF0EF" w14:textId="77777777" w:rsidR="00674942" w:rsidRDefault="00674942" w:rsidP="00674942">
      <w:r w:rsidRPr="00674942">
        <w:rPr>
          <w:u w:val="single"/>
        </w:rPr>
        <w:lastRenderedPageBreak/>
        <w:t>Low scorers</w:t>
      </w:r>
      <w:r>
        <w:t>: are likely to struggle in an environment where they are required to process information in a logical manner and solve problems.</w:t>
      </w:r>
    </w:p>
    <w:p w14:paraId="737E538F" w14:textId="42712C20" w:rsidR="00754CD7" w:rsidRPr="00C542E5" w:rsidRDefault="00056DEE" w:rsidP="00056DEE">
      <w:pPr>
        <w:pStyle w:val="Heading2"/>
        <w:rPr>
          <w:color w:val="538135" w:themeColor="accent6" w:themeShade="BF"/>
        </w:rPr>
      </w:pPr>
      <w:r w:rsidRPr="00C542E5">
        <w:rPr>
          <w:color w:val="538135" w:themeColor="accent6" w:themeShade="BF"/>
        </w:rPr>
        <w:t>Verbal reasoning</w:t>
      </w:r>
    </w:p>
    <w:p w14:paraId="1BD5DE79" w14:textId="4BB387AD" w:rsidR="00056DEE" w:rsidRDefault="00056DEE" w:rsidP="00056DEE">
      <w:r>
        <w:t xml:space="preserve">The verbal reasoning subtest assesses respondents’ </w:t>
      </w:r>
      <w:r w:rsidR="00E354EB">
        <w:t>reading and comprehension skills.</w:t>
      </w:r>
      <w:r w:rsidR="008B4DA9">
        <w:t xml:space="preserve">  </w:t>
      </w:r>
      <w:r w:rsidR="000B285D">
        <w:t xml:space="preserve">In other words, it assesses respondents’ ability to read and make judgements based on complex verbal information contained in reports, emails and </w:t>
      </w:r>
      <w:r w:rsidR="002A5011">
        <w:t>manuals.</w:t>
      </w:r>
    </w:p>
    <w:p w14:paraId="6D1EA029" w14:textId="0B7A792D" w:rsidR="002A5011" w:rsidRDefault="002A5011" w:rsidP="00056DEE">
      <w:r w:rsidRPr="002A5011">
        <w:rPr>
          <w:u w:val="single"/>
        </w:rPr>
        <w:t>High scorers</w:t>
      </w:r>
      <w:r>
        <w:t>: are likely to excel with the demands of a role that require</w:t>
      </w:r>
      <w:r w:rsidR="00103024">
        <w:t xml:space="preserve"> the ability to make judgements based on information such as reports, emails and operating manuals.</w:t>
      </w:r>
    </w:p>
    <w:p w14:paraId="08E54550" w14:textId="45E0731C" w:rsidR="00103024" w:rsidRDefault="00103024" w:rsidP="00056DEE">
      <w:r w:rsidRPr="00790EE3">
        <w:rPr>
          <w:u w:val="single"/>
        </w:rPr>
        <w:t>Low scorers</w:t>
      </w:r>
      <w:r>
        <w:t xml:space="preserve">: are likely to struggle in a role that </w:t>
      </w:r>
      <w:r w:rsidR="009E43D7">
        <w:t>requires people to make judgements based on written information, such as reports, emails and operating manuals.</w:t>
      </w:r>
    </w:p>
    <w:p w14:paraId="1824AB42" w14:textId="5814AECB" w:rsidR="00790EE3" w:rsidRPr="00C542E5" w:rsidRDefault="00790EE3" w:rsidP="00790EE3">
      <w:pPr>
        <w:pStyle w:val="Heading2"/>
        <w:rPr>
          <w:color w:val="538135" w:themeColor="accent6" w:themeShade="BF"/>
        </w:rPr>
      </w:pPr>
      <w:r w:rsidRPr="00C542E5">
        <w:rPr>
          <w:color w:val="538135" w:themeColor="accent6" w:themeShade="BF"/>
        </w:rPr>
        <w:t>Numerical reasoning</w:t>
      </w:r>
    </w:p>
    <w:p w14:paraId="23C0A732" w14:textId="2C3EF0F4" w:rsidR="00790EE3" w:rsidRDefault="00E52DB7" w:rsidP="00790EE3">
      <w:r>
        <w:t xml:space="preserve">The numerical reasoning subtest is an assessment of </w:t>
      </w:r>
      <w:r w:rsidR="0031430D">
        <w:t xml:space="preserve">a respondents’ ability to interpret numerical information </w:t>
      </w:r>
      <w:r w:rsidR="009C608E">
        <w:t xml:space="preserve">contained </w:t>
      </w:r>
      <w:r w:rsidR="00DB0FE0">
        <w:t xml:space="preserve">financial </w:t>
      </w:r>
      <w:r w:rsidR="009C608E">
        <w:t xml:space="preserve">reports, spreadsheets and </w:t>
      </w:r>
      <w:r w:rsidR="00DB0FE0">
        <w:t>budgets</w:t>
      </w:r>
      <w:r w:rsidR="00E01B1C">
        <w:t>;</w:t>
      </w:r>
      <w:r w:rsidR="000310EE">
        <w:t xml:space="preserve"> </w:t>
      </w:r>
      <w:r w:rsidR="00E01B1C">
        <w:t>and</w:t>
      </w:r>
      <w:r w:rsidR="000310EE">
        <w:t xml:space="preserve"> </w:t>
      </w:r>
      <w:r w:rsidR="00E01B1C">
        <w:t>respondents’</w:t>
      </w:r>
      <w:r w:rsidR="000310EE">
        <w:t xml:space="preserve"> ability to perform simple calculations.</w:t>
      </w:r>
    </w:p>
    <w:p w14:paraId="4835E549" w14:textId="67207D36" w:rsidR="000310EE" w:rsidRDefault="000310EE" w:rsidP="00790EE3">
      <w:r>
        <w:t>High scorers: are likely to excel in a role that requires the ability to interpret numerical information, such as financial reports and budgets.</w:t>
      </w:r>
    </w:p>
    <w:p w14:paraId="45790A1B" w14:textId="0E927208" w:rsidR="000310EE" w:rsidRDefault="000310EE" w:rsidP="00790EE3">
      <w:r>
        <w:t>Low scorers: are likely to struggle in a role that requires people to interpret numerical information, such as financial reports and budgets.</w:t>
      </w:r>
    </w:p>
    <w:p w14:paraId="1ED8B59A" w14:textId="00196780" w:rsidR="000310EE" w:rsidRPr="00C542E5" w:rsidRDefault="000310EE" w:rsidP="000310EE">
      <w:pPr>
        <w:pStyle w:val="Heading2"/>
        <w:rPr>
          <w:color w:val="538135" w:themeColor="accent6" w:themeShade="BF"/>
        </w:rPr>
      </w:pPr>
      <w:r w:rsidRPr="00C542E5">
        <w:rPr>
          <w:color w:val="538135" w:themeColor="accent6" w:themeShade="BF"/>
        </w:rPr>
        <w:t>Mechanical reasoning</w:t>
      </w:r>
    </w:p>
    <w:p w14:paraId="6151CBA9" w14:textId="66EA85EA" w:rsidR="000310EE" w:rsidRDefault="000310EE" w:rsidP="000310EE">
      <w:r>
        <w:t xml:space="preserve">The mechanical reasoning subtest is an assessment of a respondent’s ability to </w:t>
      </w:r>
      <w:r w:rsidR="004D0880">
        <w:t xml:space="preserve">interpret how physical forces </w:t>
      </w:r>
      <w:r w:rsidR="00D44353">
        <w:t xml:space="preserve">and mechanical forces will impact </w:t>
      </w:r>
      <w:r w:rsidR="00E3408D">
        <w:t xml:space="preserve">on </w:t>
      </w:r>
      <w:r w:rsidR="00D44353">
        <w:t>objects.</w:t>
      </w:r>
    </w:p>
    <w:p w14:paraId="5E873904" w14:textId="7E38B914" w:rsidR="00D44353" w:rsidRDefault="00D44353" w:rsidP="000310EE">
      <w:r w:rsidRPr="00D82A7A">
        <w:rPr>
          <w:u w:val="single"/>
        </w:rPr>
        <w:t>High scorers</w:t>
      </w:r>
      <w:r>
        <w:t>: are likely to excel in a role that requires the ability to correctly</w:t>
      </w:r>
      <w:r w:rsidR="0012769C">
        <w:t xml:space="preserve"> estimate how physical forces will affect objects; for example, gears, levers and pulleys.  </w:t>
      </w:r>
      <w:r w:rsidR="00203249">
        <w:t xml:space="preserve">Skills such as these are required in a variety of physical and engineering roles, such as train driver, </w:t>
      </w:r>
      <w:r w:rsidR="00D82A7A">
        <w:t>fire fighter, engineer, tradesperson.</w:t>
      </w:r>
    </w:p>
    <w:p w14:paraId="01E14829" w14:textId="19D65509" w:rsidR="00B54B9D" w:rsidRDefault="00D82A7A">
      <w:r w:rsidRPr="00D82A7A">
        <w:rPr>
          <w:u w:val="single"/>
        </w:rPr>
        <w:t>Low scorers</w:t>
      </w:r>
      <w:r>
        <w:t>: are likely to struggle in a role that requires the ability to correctly estimate how physical forces will affect objects; for example, gears, levers and pulleys.</w:t>
      </w:r>
    </w:p>
    <w:sectPr w:rsidR="00B54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9D"/>
    <w:rsid w:val="000310EE"/>
    <w:rsid w:val="00056DEE"/>
    <w:rsid w:val="000B285D"/>
    <w:rsid w:val="00103024"/>
    <w:rsid w:val="0012769C"/>
    <w:rsid w:val="00166FCD"/>
    <w:rsid w:val="00196378"/>
    <w:rsid w:val="001B71C6"/>
    <w:rsid w:val="00203249"/>
    <w:rsid w:val="00267C9F"/>
    <w:rsid w:val="002A5011"/>
    <w:rsid w:val="002F641D"/>
    <w:rsid w:val="0031430D"/>
    <w:rsid w:val="00434F16"/>
    <w:rsid w:val="004A5C06"/>
    <w:rsid w:val="004C63E9"/>
    <w:rsid w:val="004D0880"/>
    <w:rsid w:val="00536B1C"/>
    <w:rsid w:val="0063094F"/>
    <w:rsid w:val="00674942"/>
    <w:rsid w:val="00754CD7"/>
    <w:rsid w:val="00790EE3"/>
    <w:rsid w:val="007C708C"/>
    <w:rsid w:val="0089043F"/>
    <w:rsid w:val="008B4DA9"/>
    <w:rsid w:val="009C608E"/>
    <w:rsid w:val="009E43D7"/>
    <w:rsid w:val="00A73548"/>
    <w:rsid w:val="00A919E0"/>
    <w:rsid w:val="00AF3F3F"/>
    <w:rsid w:val="00B1299A"/>
    <w:rsid w:val="00B54B9D"/>
    <w:rsid w:val="00B735F8"/>
    <w:rsid w:val="00C53DB3"/>
    <w:rsid w:val="00C542E5"/>
    <w:rsid w:val="00D1248C"/>
    <w:rsid w:val="00D44353"/>
    <w:rsid w:val="00D60C75"/>
    <w:rsid w:val="00D82A7A"/>
    <w:rsid w:val="00DB0FE0"/>
    <w:rsid w:val="00E01B1C"/>
    <w:rsid w:val="00E3408D"/>
    <w:rsid w:val="00E354EB"/>
    <w:rsid w:val="00E52DB7"/>
    <w:rsid w:val="00F0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F145"/>
  <w15:chartTrackingRefBased/>
  <w15:docId w15:val="{F6337189-3857-4836-8A24-C8CE2911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9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49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49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7494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749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9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woolley</dc:creator>
  <cp:keywords/>
  <dc:description/>
  <cp:lastModifiedBy>Kirstin Davis</cp:lastModifiedBy>
  <cp:revision>2</cp:revision>
  <dcterms:created xsi:type="dcterms:W3CDTF">2026-04-27T12:19:00Z</dcterms:created>
  <dcterms:modified xsi:type="dcterms:W3CDTF">2026-04-27T12:19:00Z</dcterms:modified>
</cp:coreProperties>
</file>